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color w:val="FF0000"/>
          <w:w w:val="65"/>
          <w:sz w:val="98"/>
          <w:szCs w:val="98"/>
        </w:rPr>
      </w:pPr>
      <w:bookmarkStart w:id="0" w:name="_GoBack"/>
      <w:bookmarkEnd w:id="0"/>
    </w:p>
    <w:p>
      <w:pPr>
        <w:pStyle w:val="3"/>
        <w:rPr>
          <w:rFonts w:ascii="黑体" w:hAnsi="黑体" w:eastAsia="黑体" w:cs="黑体"/>
          <w:color w:val="FF0000"/>
          <w:w w:val="65"/>
          <w:sz w:val="98"/>
          <w:szCs w:val="98"/>
        </w:rPr>
      </w:pPr>
    </w:p>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36</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0288;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3</w:t>
      </w:r>
      <w:r>
        <w:rPr>
          <w:rFonts w:ascii="仿宋" w:hAnsi="仿宋" w:eastAsia="仿宋"/>
          <w:sz w:val="32"/>
        </w:rPr>
        <w:t>年</w:t>
      </w:r>
      <w:r>
        <w:rPr>
          <w:rFonts w:hint="eastAsia" w:ascii="仿宋" w:hAnsi="仿宋" w:eastAsia="仿宋"/>
          <w:sz w:val="32"/>
          <w:lang w:val="en-US" w:eastAsia="zh-CN"/>
        </w:rPr>
        <w:t>4</w:t>
      </w:r>
      <w:r>
        <w:rPr>
          <w:rFonts w:ascii="仿宋" w:hAnsi="仿宋" w:eastAsia="仿宋"/>
          <w:sz w:val="32"/>
        </w:rPr>
        <w:t>月</w:t>
      </w:r>
      <w:r>
        <w:rPr>
          <w:rFonts w:hint="eastAsia" w:ascii="仿宋" w:hAnsi="仿宋" w:eastAsia="仿宋"/>
          <w:sz w:val="32"/>
          <w:lang w:val="en-US" w:eastAsia="zh-CN"/>
        </w:rPr>
        <w:t>4</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3</w:t>
      </w:r>
      <w:r>
        <w:rPr>
          <w:rFonts w:ascii="宋体" w:hAnsi="宋体" w:cs="宋体"/>
          <w:b/>
          <w:sz w:val="44"/>
          <w:szCs w:val="44"/>
        </w:rPr>
        <w:t>月份12345市长公开电话办理情况</w:t>
      </w:r>
    </w:p>
    <w:p>
      <w:pPr>
        <w:pStyle w:val="2"/>
        <w:ind w:firstLine="640" w:firstLineChars="200"/>
        <w:rPr>
          <w:rFonts w:hint="eastAsia" w:ascii="宋体" w:hAnsi="宋体" w:eastAsia="宋体" w:cs="宋体"/>
          <w:b/>
          <w:bCs/>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1499件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1492</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26</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26</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56</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37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19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w:t>
      </w:r>
      <w:r>
        <w:rPr>
          <w:rFonts w:hint="eastAsia" w:ascii="仿宋" w:hAnsi="仿宋" w:eastAsia="仿宋" w:cs="仿宋"/>
          <w:sz w:val="32"/>
          <w:szCs w:val="32"/>
          <w:lang w:val="en-US" w:eastAsia="zh-CN"/>
        </w:rPr>
        <w:t>3</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28268</w:t>
      </w:r>
      <w:r>
        <w:rPr>
          <w:rFonts w:ascii="仿宋" w:hAnsi="仿宋" w:eastAsia="仿宋" w:cs="仿宋"/>
          <w:sz w:val="32"/>
          <w:szCs w:val="32"/>
        </w:rPr>
        <w:t>件，办结</w:t>
      </w:r>
      <w:r>
        <w:rPr>
          <w:rFonts w:hint="eastAsia" w:ascii="仿宋" w:hAnsi="仿宋" w:eastAsia="仿宋" w:cs="仿宋"/>
          <w:sz w:val="32"/>
          <w:szCs w:val="32"/>
          <w:lang w:val="en-US" w:eastAsia="zh-CN"/>
        </w:rPr>
        <w:t>28244</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24</w:t>
      </w:r>
      <w:r>
        <w:rPr>
          <w:rFonts w:ascii="仿宋" w:hAnsi="仿宋" w:eastAsia="仿宋" w:cs="仿宋"/>
          <w:sz w:val="32"/>
          <w:szCs w:val="32"/>
        </w:rPr>
        <w:t>件正在办理，办结率</w:t>
      </w:r>
      <w:r>
        <w:rPr>
          <w:rFonts w:hint="eastAsia" w:ascii="仿宋" w:hAnsi="仿宋" w:eastAsia="仿宋" w:cs="仿宋"/>
          <w:sz w:val="32"/>
          <w:szCs w:val="32"/>
          <w:lang w:val="en-US" w:eastAsia="zh-CN"/>
        </w:rPr>
        <w:t>99.9</w:t>
      </w:r>
      <w:r>
        <w:rPr>
          <w:rFonts w:ascii="仿宋" w:hAnsi="仿宋" w:eastAsia="仿宋" w:cs="仿宋"/>
          <w:sz w:val="32"/>
          <w:szCs w:val="32"/>
        </w:rPr>
        <w:t>%。其中属于社保问题</w:t>
      </w:r>
      <w:r>
        <w:rPr>
          <w:rFonts w:hint="eastAsia" w:ascii="仿宋" w:hAnsi="仿宋" w:eastAsia="仿宋" w:cs="仿宋"/>
          <w:sz w:val="32"/>
          <w:szCs w:val="32"/>
          <w:lang w:val="en-US" w:eastAsia="zh-CN"/>
        </w:rPr>
        <w:t>4832</w:t>
      </w:r>
      <w:r>
        <w:rPr>
          <w:rFonts w:ascii="仿宋" w:hAnsi="仿宋" w:eastAsia="仿宋" w:cs="仿宋"/>
          <w:sz w:val="32"/>
          <w:szCs w:val="32"/>
        </w:rPr>
        <w:t>件，占</w:t>
      </w:r>
      <w:r>
        <w:rPr>
          <w:rFonts w:hint="eastAsia" w:ascii="仿宋" w:hAnsi="仿宋" w:eastAsia="仿宋" w:cs="仿宋"/>
          <w:sz w:val="32"/>
          <w:szCs w:val="32"/>
          <w:lang w:val="en-US" w:eastAsia="zh-CN"/>
        </w:rPr>
        <w:t>17.1</w:t>
      </w:r>
      <w:r>
        <w:rPr>
          <w:rFonts w:ascii="仿宋" w:hAnsi="仿宋" w:eastAsia="仿宋" w:cs="仿宋"/>
          <w:sz w:val="32"/>
          <w:szCs w:val="32"/>
        </w:rPr>
        <w:t>%；住建问题</w:t>
      </w:r>
      <w:r>
        <w:rPr>
          <w:rFonts w:hint="eastAsia" w:ascii="仿宋" w:hAnsi="仿宋" w:eastAsia="仿宋" w:cs="仿宋"/>
          <w:sz w:val="32"/>
          <w:szCs w:val="32"/>
          <w:lang w:val="en-US" w:eastAsia="zh-CN"/>
        </w:rPr>
        <w:t>3497</w:t>
      </w:r>
      <w:r>
        <w:rPr>
          <w:rFonts w:ascii="仿宋" w:hAnsi="仿宋" w:eastAsia="仿宋" w:cs="仿宋"/>
          <w:sz w:val="32"/>
          <w:szCs w:val="32"/>
        </w:rPr>
        <w:t>件，占</w:t>
      </w:r>
      <w:r>
        <w:rPr>
          <w:rFonts w:hint="eastAsia" w:ascii="仿宋" w:hAnsi="仿宋" w:eastAsia="仿宋" w:cs="仿宋"/>
          <w:sz w:val="32"/>
          <w:szCs w:val="32"/>
          <w:lang w:val="en-US" w:eastAsia="zh-CN"/>
        </w:rPr>
        <w:t>12.4</w:t>
      </w:r>
      <w:r>
        <w:rPr>
          <w:rFonts w:ascii="仿宋" w:hAnsi="仿宋" w:eastAsia="仿宋" w:cs="仿宋"/>
          <w:sz w:val="32"/>
          <w:szCs w:val="32"/>
        </w:rPr>
        <w:t>%；医保问题</w:t>
      </w:r>
      <w:r>
        <w:rPr>
          <w:rFonts w:hint="eastAsia" w:ascii="仿宋" w:hAnsi="仿宋" w:eastAsia="仿宋" w:cs="仿宋"/>
          <w:sz w:val="32"/>
          <w:szCs w:val="32"/>
          <w:lang w:val="en-US" w:eastAsia="zh-CN"/>
        </w:rPr>
        <w:t>1779</w:t>
      </w:r>
      <w:r>
        <w:rPr>
          <w:rFonts w:ascii="仿宋" w:hAnsi="仿宋" w:eastAsia="仿宋" w:cs="仿宋"/>
          <w:sz w:val="32"/>
          <w:szCs w:val="32"/>
        </w:rPr>
        <w:t>件，占</w:t>
      </w:r>
      <w:r>
        <w:rPr>
          <w:rFonts w:hint="eastAsia" w:ascii="仿宋" w:hAnsi="仿宋" w:eastAsia="仿宋" w:cs="仿宋"/>
          <w:sz w:val="32"/>
          <w:szCs w:val="32"/>
          <w:lang w:val="en-US" w:eastAsia="zh-CN"/>
        </w:rPr>
        <w:t>6.3</w:t>
      </w:r>
      <w:r>
        <w:rPr>
          <w:rFonts w:ascii="仿宋" w:hAnsi="仿宋" w:eastAsia="仿宋" w:cs="仿宋"/>
          <w:sz w:val="32"/>
          <w:szCs w:val="32"/>
        </w:rPr>
        <w:t>%；交通问题</w:t>
      </w:r>
      <w:r>
        <w:rPr>
          <w:rFonts w:hint="eastAsia" w:ascii="仿宋" w:hAnsi="仿宋" w:eastAsia="仿宋" w:cs="仿宋"/>
          <w:sz w:val="32"/>
          <w:szCs w:val="32"/>
          <w:lang w:val="en-US" w:eastAsia="zh-CN"/>
        </w:rPr>
        <w:t>1776</w:t>
      </w:r>
      <w:r>
        <w:rPr>
          <w:rFonts w:ascii="仿宋" w:hAnsi="仿宋" w:eastAsia="仿宋" w:cs="仿宋"/>
          <w:sz w:val="32"/>
          <w:szCs w:val="32"/>
        </w:rPr>
        <w:t>件，占</w:t>
      </w:r>
      <w:r>
        <w:rPr>
          <w:rFonts w:hint="eastAsia" w:ascii="仿宋" w:hAnsi="仿宋" w:eastAsia="仿宋" w:cs="仿宋"/>
          <w:sz w:val="32"/>
          <w:szCs w:val="32"/>
          <w:lang w:val="en-US" w:eastAsia="zh-CN"/>
        </w:rPr>
        <w:t>6.3</w:t>
      </w:r>
      <w:r>
        <w:rPr>
          <w:rFonts w:ascii="仿宋" w:hAnsi="仿宋" w:eastAsia="仿宋" w:cs="仿宋"/>
          <w:sz w:val="32"/>
          <w:szCs w:val="32"/>
        </w:rPr>
        <w:t>%；水、电、气问题</w:t>
      </w:r>
      <w:r>
        <w:rPr>
          <w:rFonts w:hint="eastAsia" w:ascii="仿宋" w:hAnsi="仿宋" w:eastAsia="仿宋" w:cs="仿宋"/>
          <w:sz w:val="32"/>
          <w:szCs w:val="32"/>
          <w:lang w:val="en-US" w:eastAsia="zh-CN"/>
        </w:rPr>
        <w:t>1547</w:t>
      </w:r>
      <w:r>
        <w:rPr>
          <w:rFonts w:ascii="仿宋" w:hAnsi="仿宋" w:eastAsia="仿宋" w:cs="仿宋"/>
          <w:sz w:val="32"/>
          <w:szCs w:val="32"/>
        </w:rPr>
        <w:t>件，占</w:t>
      </w:r>
      <w:r>
        <w:rPr>
          <w:rFonts w:hint="eastAsia" w:ascii="仿宋" w:hAnsi="仿宋" w:eastAsia="仿宋" w:cs="仿宋"/>
          <w:sz w:val="32"/>
          <w:szCs w:val="32"/>
          <w:lang w:val="en-US" w:eastAsia="zh-CN"/>
        </w:rPr>
        <w:t>5.5</w:t>
      </w:r>
      <w:r>
        <w:rPr>
          <w:rFonts w:ascii="仿宋" w:hAnsi="仿宋" w:eastAsia="仿宋" w:cs="仿宋"/>
          <w:sz w:val="32"/>
          <w:szCs w:val="32"/>
        </w:rPr>
        <w:t>%；行政执法问题</w:t>
      </w:r>
      <w:r>
        <w:rPr>
          <w:rFonts w:hint="eastAsia" w:ascii="仿宋" w:hAnsi="仿宋" w:eastAsia="仿宋" w:cs="仿宋"/>
          <w:sz w:val="32"/>
          <w:szCs w:val="32"/>
          <w:lang w:val="en-US" w:eastAsia="zh-CN"/>
        </w:rPr>
        <w:t>1084</w:t>
      </w:r>
      <w:r>
        <w:rPr>
          <w:rFonts w:ascii="仿宋" w:hAnsi="仿宋" w:eastAsia="仿宋" w:cs="仿宋"/>
          <w:sz w:val="32"/>
          <w:szCs w:val="32"/>
        </w:rPr>
        <w:t>件，占</w:t>
      </w:r>
      <w:r>
        <w:rPr>
          <w:rFonts w:hint="eastAsia" w:ascii="仿宋" w:hAnsi="仿宋" w:eastAsia="仿宋" w:cs="仿宋"/>
          <w:sz w:val="32"/>
          <w:szCs w:val="32"/>
          <w:lang w:val="en-US" w:eastAsia="zh-CN"/>
        </w:rPr>
        <w:t>3.8</w:t>
      </w:r>
      <w:r>
        <w:rPr>
          <w:rFonts w:ascii="仿宋" w:hAnsi="仿宋" w:eastAsia="仿宋" w:cs="仿宋"/>
          <w:sz w:val="32"/>
          <w:szCs w:val="32"/>
        </w:rPr>
        <w:t>%；住房公积金问题</w:t>
      </w:r>
      <w:r>
        <w:rPr>
          <w:rFonts w:hint="eastAsia" w:ascii="仿宋" w:hAnsi="仿宋" w:eastAsia="仿宋" w:cs="仿宋"/>
          <w:sz w:val="32"/>
          <w:szCs w:val="32"/>
          <w:lang w:val="en-US" w:eastAsia="zh-CN"/>
        </w:rPr>
        <w:t>914</w:t>
      </w:r>
      <w:r>
        <w:rPr>
          <w:rFonts w:ascii="仿宋" w:hAnsi="仿宋" w:eastAsia="仿宋" w:cs="仿宋"/>
          <w:sz w:val="32"/>
          <w:szCs w:val="32"/>
        </w:rPr>
        <w:t>件，占</w:t>
      </w:r>
      <w:r>
        <w:rPr>
          <w:rFonts w:hint="eastAsia" w:ascii="仿宋" w:hAnsi="仿宋" w:eastAsia="仿宋" w:cs="仿宋"/>
          <w:sz w:val="32"/>
          <w:szCs w:val="32"/>
          <w:lang w:val="en-US" w:eastAsia="zh-CN"/>
        </w:rPr>
        <w:t>3.2</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535件，占1.9%；城市卫生、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12304件，占43.5%。</w:t>
      </w:r>
    </w:p>
    <w:p>
      <w:pPr>
        <w:ind w:firstLine="642" w:firstLineChars="200"/>
        <w:rPr>
          <w:rFonts w:hint="eastAsia" w:ascii="仿宋" w:hAnsi="仿宋" w:eastAsia="仿宋" w:cs="仿宋"/>
          <w:b/>
          <w:bCs/>
          <w:sz w:val="32"/>
          <w:szCs w:val="32"/>
          <w:lang w:val="en-US" w:eastAsia="zh-CN"/>
        </w:rPr>
      </w:pPr>
      <w:r>
        <w:rPr>
          <w:rFonts w:hint="eastAsia" w:ascii="宋体" w:hAnsi="宋体" w:eastAsia="宋体" w:cs="宋体"/>
          <w:b/>
          <w:bCs/>
          <w:sz w:val="32"/>
          <w:szCs w:val="32"/>
          <w:lang w:val="en-US" w:eastAsia="zh-CN"/>
        </w:rPr>
        <w:t>一、</w:t>
      </w:r>
      <w:r>
        <w:rPr>
          <w:rFonts w:hint="eastAsia" w:ascii="宋体" w:hAnsi="宋体" w:cs="宋体"/>
          <w:b/>
          <w:bCs/>
          <w:sz w:val="32"/>
          <w:szCs w:val="32"/>
          <w:lang w:val="en-US" w:eastAsia="zh-CN"/>
        </w:rPr>
        <w:t>3</w:t>
      </w:r>
      <w:r>
        <w:rPr>
          <w:rFonts w:hint="eastAsia" w:ascii="宋体" w:hAnsi="宋体" w:eastAsia="宋体" w:cs="宋体"/>
          <w:b/>
          <w:bCs/>
          <w:sz w:val="32"/>
          <w:szCs w:val="32"/>
          <w:lang w:val="en-US" w:eastAsia="zh-CN"/>
        </w:rPr>
        <w:t>月份群众反映比较突出的问题</w:t>
      </w:r>
    </w:p>
    <w:p>
      <w:pPr>
        <w:ind w:firstLine="64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1.大禹奥城小区无法办理房照问题。</w:t>
      </w:r>
      <w:r>
        <w:rPr>
          <w:rFonts w:hint="eastAsia" w:ascii="仿宋" w:hAnsi="仿宋" w:eastAsia="仿宋" w:cs="仿宋"/>
          <w:b w:val="0"/>
          <w:bCs w:val="0"/>
          <w:sz w:val="32"/>
          <w:szCs w:val="32"/>
          <w:lang w:val="en-US" w:eastAsia="zh-CN"/>
        </w:rPr>
        <w:t>近期，有市民反映大禹奥城小区迟迟办不了房照问题。棚改1＃-2地块项目计划建设回迁楼9栋，截止2020年底已建设完工8栋并已经回迁安置，到现在为止还有一栋78＃回迁楼没有开工建设。主要原因是在78＃楼的地基位置上还有一家未动迁户由于补偿款问题未达成一致，故没有完成土地手续，导致迟迟不能开具发票及办理产权证，居民很是苦恼。</w:t>
      </w:r>
    </w:p>
    <w:p>
      <w:pPr>
        <w:ind w:firstLine="642" w:firstLineChars="200"/>
        <w:rPr>
          <w:rFonts w:hint="default"/>
          <w:lang w:val="en-US" w:eastAsia="zh-CN"/>
        </w:rPr>
      </w:pPr>
      <w:r>
        <w:rPr>
          <w:rFonts w:hint="eastAsia" w:ascii="仿宋" w:hAnsi="仿宋" w:eastAsia="仿宋" w:cs="仿宋"/>
          <w:b/>
          <w:bCs/>
          <w:sz w:val="32"/>
          <w:szCs w:val="32"/>
          <w:lang w:val="en-US" w:eastAsia="zh-CN"/>
        </w:rPr>
        <w:t>2.犬类缺乏管理问题。</w:t>
      </w:r>
      <w:r>
        <w:rPr>
          <w:rFonts w:hint="eastAsia" w:ascii="仿宋" w:hAnsi="仿宋" w:eastAsia="仿宋" w:cs="仿宋"/>
          <w:b w:val="0"/>
          <w:bCs w:val="0"/>
          <w:sz w:val="32"/>
          <w:szCs w:val="32"/>
          <w:lang w:val="en-US" w:eastAsia="zh-CN"/>
        </w:rPr>
        <w:t>一段时间以来，经常有市民反映犬类问题。一是随处便溺，小区里、河边路、人行步道等都能看见狗便，尤其小区里为甚，严重影响环境卫生；二是有些不拴牵引绳，随意乱跑，大型犬只对老人和孩子有潜在威胁。以上问题没有相关部门进行常态化的有效整治。</w:t>
      </w:r>
    </w:p>
    <w:p>
      <w:pPr>
        <w:ind w:firstLine="642"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3.油补、农机补、粮食直补等财政性补贴未按时发放问题。</w:t>
      </w:r>
      <w:r>
        <w:rPr>
          <w:rFonts w:hint="eastAsia" w:ascii="仿宋" w:hAnsi="仿宋" w:eastAsia="仿宋" w:cs="仿宋"/>
          <w:b w:val="0"/>
          <w:bCs w:val="0"/>
          <w:sz w:val="32"/>
          <w:szCs w:val="32"/>
          <w:lang w:val="en-US" w:eastAsia="zh-CN"/>
        </w:rPr>
        <w:t>近期，有些市民反映油补、农机补、粮食直补等一些财政性补贴未发放问题，因等待时间较长，国家的惠民政策没及时享受到，市民有质疑。</w:t>
      </w:r>
    </w:p>
    <w:p>
      <w:pPr>
        <w:pStyle w:val="2"/>
        <w:ind w:firstLine="642" w:firstLineChars="200"/>
        <w:rPr>
          <w:rFonts w:hint="default" w:ascii="仿宋" w:hAnsi="仿宋" w:eastAsia="仿宋" w:cs="仿宋"/>
          <w:b/>
          <w:bCs/>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2</w:t>
      </w:r>
      <w:r>
        <w:rPr>
          <w:rFonts w:hint="eastAsia" w:ascii="宋体" w:hAnsi="宋体" w:eastAsia="宋体" w:cs="宋体"/>
          <w:b/>
          <w:color w:val="000000"/>
          <w:sz w:val="32"/>
          <w:szCs w:val="32"/>
          <w:lang w:val="en-US" w:eastAsia="zh-CN"/>
        </w:rPr>
        <w:t>月份群众的意见和建议</w:t>
      </w:r>
    </w:p>
    <w:p>
      <w:pPr>
        <w:pStyle w:val="2"/>
        <w:ind w:firstLine="642" w:firstLineChars="200"/>
      </w:pPr>
      <w:r>
        <w:rPr>
          <w:rFonts w:hint="eastAsia" w:ascii="仿宋" w:hAnsi="仿宋" w:eastAsia="仿宋" w:cs="仿宋"/>
          <w:b/>
          <w:bCs/>
          <w:kern w:val="2"/>
          <w:sz w:val="32"/>
          <w:szCs w:val="32"/>
          <w:lang w:val="en-US" w:eastAsia="zh-CN" w:bidi="ar-SA"/>
        </w:rPr>
        <w:t>1.应增设小区内的充电装置</w:t>
      </w:r>
      <w:r>
        <w:rPr>
          <w:rFonts w:hint="eastAsia" w:ascii="仿宋" w:hAnsi="仿宋" w:eastAsia="仿宋" w:cs="仿宋"/>
          <w:b/>
          <w:bCs/>
          <w:sz w:val="32"/>
          <w:szCs w:val="32"/>
          <w:lang w:val="en-US" w:eastAsia="zh-CN"/>
        </w:rPr>
        <w:t>。</w:t>
      </w:r>
      <w:r>
        <w:rPr>
          <w:rFonts w:hint="eastAsia" w:ascii="仿宋" w:hAnsi="仿宋" w:eastAsia="仿宋" w:cs="仿宋"/>
          <w:sz w:val="32"/>
          <w:szCs w:val="32"/>
          <w:lang w:val="en-US" w:eastAsia="zh-CN"/>
        </w:rPr>
        <w:t>居民在楼道内或从楼上拉线给电瓶车充电的现象屡禁不绝，存在严重安全隐患。引发该问题的主要原因是小区内充电装置配备不足，远远不能满足居民的充电需求。居民建议责任部门督导物业加大标准化建设的投入，安装能够满足小区需求的充电装置，让居民拥有一个安全、便利的居住环境。</w:t>
      </w:r>
    </w:p>
    <w:p>
      <w:pPr>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2.应加强管控粘贴小广告行为。</w:t>
      </w:r>
      <w:r>
        <w:rPr>
          <w:rFonts w:hint="eastAsia" w:ascii="仿宋" w:hAnsi="仿宋" w:eastAsia="仿宋" w:cs="仿宋"/>
          <w:b w:val="0"/>
          <w:bCs w:val="0"/>
          <w:sz w:val="32"/>
          <w:szCs w:val="32"/>
          <w:lang w:val="en-US" w:eastAsia="zh-CN"/>
        </w:rPr>
        <w:t>一段时间以来，经常可以看到路边电线杆、路牌、建筑外墙、楼道等粘贴了许多小广告。社区工作人员表示，每次清理完小广告后依然有人继续粘贴。建议责任部门加强管控和排查力度，采取切实有效办法，从源头遏制粘贴小广告行为。</w:t>
      </w:r>
    </w:p>
    <w:p>
      <w:pPr>
        <w:ind w:firstLine="64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3.应对不清晰的道路交通标线重新施划。</w:t>
      </w:r>
      <w:r>
        <w:rPr>
          <w:rFonts w:hint="eastAsia" w:ascii="仿宋" w:hAnsi="仿宋" w:eastAsia="仿宋" w:cs="仿宋"/>
          <w:b w:val="0"/>
          <w:bCs w:val="0"/>
          <w:sz w:val="32"/>
          <w:szCs w:val="32"/>
          <w:lang w:val="en-US" w:eastAsia="zh-CN"/>
        </w:rPr>
        <w:t>道路交通标线有着引导交通的作用，近期有司机反映市内一些道路上的交通标线因长时间磨损而变得模糊不清，容易造成车辆违规。司机建议应对不清晰的道路交通标线重新施划，使车辆通行井然有序，也更能展示一个城市的良好形象。</w:t>
      </w:r>
    </w:p>
    <w:p>
      <w:pPr>
        <w:ind w:firstLine="642" w:firstLineChars="200"/>
        <w:rPr>
          <w:rFonts w:hint="eastAsia" w:ascii="仿宋" w:hAnsi="仿宋" w:eastAsia="仿宋" w:cs="仿宋"/>
          <w:b/>
          <w:bCs/>
          <w:sz w:val="32"/>
          <w:szCs w:val="32"/>
          <w:lang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3</w:t>
      </w:r>
      <w:r>
        <w:rPr>
          <w:rFonts w:hint="eastAsia" w:ascii="宋体" w:hAnsi="宋体" w:eastAsia="宋体" w:cs="宋体"/>
          <w:b/>
          <w:color w:val="000000"/>
          <w:sz w:val="32"/>
          <w:szCs w:val="32"/>
          <w:lang w:val="en-US" w:eastAsia="zh-CN"/>
        </w:rPr>
        <w:t>月份解决比较好的几个问题</w:t>
      </w:r>
    </w:p>
    <w:p>
      <w:pPr>
        <w:ind w:firstLine="642" w:firstLineChars="200"/>
        <w:rPr>
          <w:rFonts w:hint="eastAsia"/>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双辽市政府解决拖欠工资问题。</w:t>
      </w:r>
      <w:r>
        <w:rPr>
          <w:rFonts w:hint="eastAsia" w:ascii="仿宋" w:hAnsi="仿宋" w:eastAsia="仿宋" w:cs="仿宋"/>
          <w:sz w:val="32"/>
          <w:szCs w:val="32"/>
          <w:lang w:eastAsia="zh-CN"/>
        </w:rPr>
        <w:t>双辽市居民徐某打电话反映，其在双辽市政务大厅北门的金骰子烤肉务工，由于个人原因离职，正常应该发放1430元的工资，但老板告知只能发放一半，其对此不认可，要求帮助解决。经双辽市人社局劳动监察大队与双方沟通协调，金骰子烤肉老板对其工资进行了全部支付。</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梨树县政府解决押金不予返还问题。</w:t>
      </w:r>
      <w:r>
        <w:rPr>
          <w:rFonts w:hint="eastAsia" w:ascii="仿宋" w:hAnsi="仿宋" w:eastAsia="仿宋" w:cs="仿宋"/>
          <w:sz w:val="32"/>
          <w:szCs w:val="32"/>
          <w:lang w:eastAsia="zh-CN"/>
        </w:rPr>
        <w:t>梨树县育才中学教师打电话反映，其于2019年9月入职，2020年7月离职，入职时交纳了</w:t>
      </w:r>
      <w:r>
        <w:rPr>
          <w:rFonts w:hint="eastAsia" w:ascii="仿宋" w:hAnsi="仿宋" w:eastAsia="仿宋" w:cs="仿宋"/>
          <w:sz w:val="32"/>
          <w:szCs w:val="32"/>
          <w:lang w:val="en-US" w:eastAsia="zh-CN"/>
        </w:rPr>
        <w:t>5000元押金，</w:t>
      </w:r>
      <w:r>
        <w:rPr>
          <w:rFonts w:hint="eastAsia" w:ascii="仿宋" w:hAnsi="仿宋" w:eastAsia="仿宋" w:cs="仿宋"/>
          <w:sz w:val="32"/>
          <w:szCs w:val="32"/>
          <w:lang w:eastAsia="zh-CN"/>
        </w:rPr>
        <w:t>学校以工作未满三年为由，不予返还，要求帮助解决。经梨树县人社局调查，情况属实。经沟通协调，育才中学返还了押金。</w:t>
      </w:r>
    </w:p>
    <w:p>
      <w:pPr>
        <w:pStyle w:val="2"/>
        <w:ind w:firstLine="642"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3.伊通县政府解决路灯不亮问题。</w:t>
      </w:r>
      <w:r>
        <w:rPr>
          <w:rFonts w:hint="eastAsia" w:ascii="仿宋" w:hAnsi="仿宋" w:eastAsia="仿宋" w:cs="仿宋"/>
          <w:kern w:val="2"/>
          <w:sz w:val="32"/>
          <w:szCs w:val="32"/>
          <w:lang w:val="en-US" w:eastAsia="zh-CN" w:bidi="ar-SA"/>
        </w:rPr>
        <w:t>伊通县居民打电话反映，库伦大路金港城西到政务大厅路段上的路灯不亮，影响居民出行，要求尽快恢复。经伊通县园林管理中心现场维修，路灯恢复了正常照明。</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4.铁东区政府解决商贩占道经营问题。</w:t>
      </w:r>
      <w:r>
        <w:rPr>
          <w:rFonts w:hint="eastAsia" w:ascii="仿宋" w:hAnsi="仿宋" w:eastAsia="仿宋" w:cs="仿宋"/>
          <w:sz w:val="32"/>
          <w:szCs w:val="32"/>
          <w:lang w:val="en-US" w:eastAsia="zh-CN"/>
        </w:rPr>
        <w:t>市民打电话反映，</w:t>
      </w:r>
      <w:r>
        <w:rPr>
          <w:rFonts w:hint="eastAsia" w:ascii="仿宋" w:hAnsi="仿宋" w:eastAsia="仿宋" w:cs="仿宋"/>
          <w:sz w:val="32"/>
          <w:szCs w:val="32"/>
          <w:lang w:eastAsia="zh-CN"/>
        </w:rPr>
        <w:t>中山大路星缘圣府西门门外每天有售卖水果的商贩占道经营，</w:t>
      </w:r>
      <w:r>
        <w:rPr>
          <w:rFonts w:hint="eastAsia" w:ascii="仿宋" w:hAnsi="仿宋" w:eastAsia="仿宋" w:cs="仿宋"/>
          <w:sz w:val="32"/>
          <w:szCs w:val="32"/>
          <w:lang w:val="en-US" w:eastAsia="zh-CN"/>
        </w:rPr>
        <w:t>影响居民通行，</w:t>
      </w:r>
      <w:r>
        <w:rPr>
          <w:rFonts w:hint="eastAsia" w:ascii="仿宋" w:hAnsi="仿宋" w:eastAsia="仿宋" w:cs="仿宋"/>
          <w:sz w:val="32"/>
          <w:szCs w:val="32"/>
          <w:lang w:eastAsia="zh-CN"/>
        </w:rPr>
        <w:t>要求整治。</w:t>
      </w:r>
      <w:r>
        <w:rPr>
          <w:rFonts w:hint="eastAsia" w:ascii="仿宋" w:hAnsi="仿宋" w:eastAsia="仿宋" w:cs="仿宋"/>
          <w:sz w:val="32"/>
          <w:szCs w:val="32"/>
          <w:lang w:val="en-US" w:eastAsia="zh-CN"/>
        </w:rPr>
        <w:t>经铁东区执法局现场执法，将占道商贩进行了清散，并对多次劝离不予配合的商贩给予其暂扣工具处罚</w:t>
      </w:r>
      <w:r>
        <w:rPr>
          <w:rFonts w:hint="eastAsia" w:ascii="仿宋" w:hAnsi="仿宋" w:eastAsia="仿宋" w:cs="仿宋"/>
          <w:sz w:val="32"/>
          <w:szCs w:val="32"/>
          <w:lang w:eastAsia="zh-CN"/>
        </w:rPr>
        <w:t>。</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lang w:eastAsia="zh-CN"/>
        </w:rPr>
        <w:t>铁西区政府解决路面塌陷问题。</w:t>
      </w:r>
      <w:r>
        <w:rPr>
          <w:rFonts w:hint="eastAsia" w:ascii="仿宋" w:hAnsi="仿宋" w:eastAsia="仿宋" w:cs="仿宋"/>
          <w:sz w:val="32"/>
          <w:szCs w:val="32"/>
          <w:lang w:eastAsia="zh-CN"/>
        </w:rPr>
        <w:t>铁西区滨河蓝湾小区居民打电话反映，小区东侧小酒桌烧烤店门前的人行路上坍陷一个深坑，有多名行人掉到坑里，存在安全隐患，要求尽快修复。经铁西区市政设施维护处人员现场处理，对深坑进行了填平。</w:t>
      </w:r>
    </w:p>
    <w:p>
      <w:pPr>
        <w:ind w:firstLine="642"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eastAsia="zh-CN"/>
        </w:rPr>
        <w:t>市水利局解决护城河栏杆被涂鸦问题。</w:t>
      </w:r>
      <w:r>
        <w:rPr>
          <w:rFonts w:hint="eastAsia" w:ascii="仿宋" w:hAnsi="仿宋" w:eastAsia="仿宋" w:cs="仿宋"/>
          <w:sz w:val="32"/>
          <w:szCs w:val="32"/>
          <w:lang w:eastAsia="zh-CN"/>
        </w:rPr>
        <w:t>铁西区居民打电话反映，苹果社区护城河两边木头栏杆被白粉笔乱涂乱画，影响市容，要求清理。经市水利局南北河管理中心现场处理，栏杆上的涂鸦被清理干净。</w:t>
      </w:r>
    </w:p>
    <w:p>
      <w:pPr>
        <w:pStyle w:val="2"/>
        <w:ind w:firstLine="642" w:firstLineChars="200"/>
        <w:rPr>
          <w:rFonts w:hint="default"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lang w:eastAsia="zh-CN"/>
        </w:rPr>
        <w:t>市市场监督管理局解决菜品内含有钨丝问题。</w:t>
      </w:r>
      <w:r>
        <w:rPr>
          <w:rFonts w:hint="eastAsia" w:ascii="仿宋" w:hAnsi="仿宋" w:eastAsia="仿宋" w:cs="仿宋"/>
          <w:kern w:val="2"/>
          <w:sz w:val="32"/>
          <w:szCs w:val="32"/>
          <w:lang w:val="en-US" w:eastAsia="zh-CN" w:bidi="ar-SA"/>
        </w:rPr>
        <w:t>市民郭某打电话反映，其于2月22日晚21点左右在铁西区壹晟雅歌二楼就餐，就餐时发现一菜品内含有钨丝，要求调查处理。经市市场监督管理局西二分局调查处理，对商家进行了500元处罚。</w:t>
      </w:r>
    </w:p>
    <w:p>
      <w:pPr>
        <w:pStyle w:val="2"/>
        <w:ind w:firstLine="642"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8.市公安局撤销违停处罚问题。</w:t>
      </w:r>
      <w:r>
        <w:rPr>
          <w:rFonts w:hint="eastAsia" w:ascii="仿宋" w:hAnsi="仿宋" w:eastAsia="仿宋" w:cs="仿宋"/>
          <w:kern w:val="2"/>
          <w:sz w:val="32"/>
          <w:szCs w:val="32"/>
          <w:lang w:val="en-US" w:eastAsia="zh-CN" w:bidi="ar-SA"/>
        </w:rPr>
        <w:t>市民打电话反映，其2月26日早8时17分收到在紫气大路东段一个违停信息，但车牌号录入有误，并不是反映人的车辆，要求帮助解决。经市公安局铁东交管大队调查，情况属实。遂对反映人的违停处罚进行了撤销。</w:t>
      </w:r>
    </w:p>
    <w:p>
      <w:pPr>
        <w:pStyle w:val="2"/>
        <w:ind w:firstLine="642"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9.市住建局解决道路塌陷问题。</w:t>
      </w:r>
      <w:r>
        <w:rPr>
          <w:rFonts w:hint="eastAsia" w:ascii="仿宋" w:hAnsi="仿宋" w:eastAsia="仿宋" w:cs="仿宋"/>
          <w:kern w:val="2"/>
          <w:sz w:val="32"/>
          <w:szCs w:val="32"/>
          <w:lang w:val="en-US" w:eastAsia="zh-CN" w:bidi="ar-SA"/>
        </w:rPr>
        <w:t>市民打电话反映，铁西区三道口西侧北向南道路上坍塌一个深坑，车辆行驶存在安全隐患，要求尽快处理。经市住建局市政设施维护管理中心现场处理，深坑得到了填平。</w:t>
      </w:r>
    </w:p>
    <w:p>
      <w:pPr>
        <w:pStyle w:val="2"/>
        <w:ind w:firstLine="642" w:firstLineChars="200"/>
        <w:rPr>
          <w:rFonts w:hint="default"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10.市交通局解决驾校退费问题。</w:t>
      </w:r>
      <w:r>
        <w:rPr>
          <w:rFonts w:hint="eastAsia" w:ascii="仿宋" w:hAnsi="仿宋" w:eastAsia="仿宋" w:cs="仿宋"/>
          <w:kern w:val="2"/>
          <w:sz w:val="32"/>
          <w:szCs w:val="32"/>
          <w:lang w:val="en-US" w:eastAsia="zh-CN" w:bidi="ar-SA"/>
        </w:rPr>
        <w:t>市民宫某打电话反映，其于2022年10月在顺达驾校报名考试，由于反映人考了两次科一仍未通过，对考试丧失了信心，不想继续练车考试，要求协调退费。经市交通局驾训科与双方沟通协调，顺达驾校为其办理了退费。</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59264"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59264;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ascii="仿宋" w:hAnsi="仿宋" w:eastAsia="仿宋"/>
          <w:sz w:val="32"/>
        </w:rPr>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6"/>
        <w:tblW w:w="98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12"/>
        <w:gridCol w:w="930"/>
        <w:gridCol w:w="870"/>
        <w:gridCol w:w="3435"/>
        <w:gridCol w:w="900"/>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28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343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88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1262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1260</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718</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707</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684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684</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10</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630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630</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561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559</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304</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303</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214</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167</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110</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市财政局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73</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62</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62</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市残联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41</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市科技局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34</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市妇联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市编办</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市组织部</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市水利局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市行政执法局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四发集团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市民政局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市生态环境局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市应急管理局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市税务局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市新闻出版局(版权局)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jc w:val="center"/>
        </w:trPr>
        <w:tc>
          <w:tcPr>
            <w:tcW w:w="28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8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343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c>
          <w:tcPr>
            <w:tcW w:w="88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p>
        </w:tc>
      </w:tr>
    </w:tbl>
    <w:p>
      <w:pPr>
        <w:pStyle w:val="2"/>
        <w:rPr>
          <w:rFonts w:hint="eastAsia" w:ascii="仿宋" w:hAnsi="仿宋" w:eastAsia="仿宋" w:cs="仿宋"/>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DhhZmQwOTk3M2UyNWNiMDg4OWFmYmM4MjQ5NjIifQ=="/>
  </w:docVars>
  <w:rsids>
    <w:rsidRoot w:val="7AA92322"/>
    <w:rsid w:val="075D5F28"/>
    <w:rsid w:val="0D6D0128"/>
    <w:rsid w:val="101C0036"/>
    <w:rsid w:val="10EA124F"/>
    <w:rsid w:val="11863BF5"/>
    <w:rsid w:val="1237354A"/>
    <w:rsid w:val="1BFF3571"/>
    <w:rsid w:val="268B33C8"/>
    <w:rsid w:val="27DE153B"/>
    <w:rsid w:val="30E262DA"/>
    <w:rsid w:val="34555ECA"/>
    <w:rsid w:val="3479432C"/>
    <w:rsid w:val="35EC2C49"/>
    <w:rsid w:val="36FF45A0"/>
    <w:rsid w:val="39A46823"/>
    <w:rsid w:val="3BFFA7C3"/>
    <w:rsid w:val="3CBC69A6"/>
    <w:rsid w:val="3E3F64D0"/>
    <w:rsid w:val="3E7D1A5D"/>
    <w:rsid w:val="3EFFD4B4"/>
    <w:rsid w:val="4E086F29"/>
    <w:rsid w:val="4E7A8B8C"/>
    <w:rsid w:val="52DDA109"/>
    <w:rsid w:val="536BBD11"/>
    <w:rsid w:val="58037E2D"/>
    <w:rsid w:val="5E8130F7"/>
    <w:rsid w:val="5E9E476C"/>
    <w:rsid w:val="60B31491"/>
    <w:rsid w:val="65512426"/>
    <w:rsid w:val="69821E2D"/>
    <w:rsid w:val="6B8F6DF2"/>
    <w:rsid w:val="6E9E14B7"/>
    <w:rsid w:val="6EDF96EC"/>
    <w:rsid w:val="6F9FD8A3"/>
    <w:rsid w:val="6FFFF20B"/>
    <w:rsid w:val="70027C28"/>
    <w:rsid w:val="73FF9667"/>
    <w:rsid w:val="763233ED"/>
    <w:rsid w:val="777A4AF8"/>
    <w:rsid w:val="777DDC08"/>
    <w:rsid w:val="7922647B"/>
    <w:rsid w:val="7AA92322"/>
    <w:rsid w:val="7AF6E1B4"/>
    <w:rsid w:val="7D9717B0"/>
    <w:rsid w:val="7E7FB1C3"/>
    <w:rsid w:val="7F270098"/>
    <w:rsid w:val="7F6FEF3E"/>
    <w:rsid w:val="7F7D58EC"/>
    <w:rsid w:val="7FEF475B"/>
    <w:rsid w:val="9BFDEAC3"/>
    <w:rsid w:val="9D4B5CFF"/>
    <w:rsid w:val="B5FE763C"/>
    <w:rsid w:val="B75F42FB"/>
    <w:rsid w:val="BA7B23C6"/>
    <w:rsid w:val="BEFFCBD4"/>
    <w:rsid w:val="BF772F3B"/>
    <w:rsid w:val="DED9B18B"/>
    <w:rsid w:val="ED7BEF46"/>
    <w:rsid w:val="ED7F5EB8"/>
    <w:rsid w:val="EFFF850B"/>
    <w:rsid w:val="F3FC491D"/>
    <w:rsid w:val="F5B1CA7E"/>
    <w:rsid w:val="F6FE8E22"/>
    <w:rsid w:val="F9FFDF28"/>
    <w:rsid w:val="FAF8E225"/>
    <w:rsid w:val="FDBE5019"/>
    <w:rsid w:val="FE734873"/>
    <w:rsid w:val="FF997973"/>
    <w:rsid w:val="FFCD1CAF"/>
    <w:rsid w:val="FFDFF79C"/>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2293</Words>
  <Characters>2443</Characters>
  <Lines>0</Lines>
  <Paragraphs>0</Paragraphs>
  <TotalTime>35</TotalTime>
  <ScaleCrop>false</ScaleCrop>
  <LinksUpToDate>false</LinksUpToDate>
  <CharactersWithSpaces>2469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2023-03-09T06:53:00Z</dcterms:created>
  <dc:creator>ZhangHe</dc:creator>
  <cp:lastModifiedBy>user</cp:lastModifiedBy>
  <dcterms:modified xsi:type="dcterms:W3CDTF">2023-04-04T15:53:23Z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3FDC00A59AFD4A7AB670485CCB4F0D93</vt:lpwstr>
  </property>
</Properties>
</file>