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政府债务情况</w:t>
      </w: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2018年省政府下达四平市债务限额为106亿元，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（其中一般债务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元，专项债务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元），比上年新增债务限额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12.1亿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元（其中一般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；专项债务限额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截止2018年末，全市地方政府性债务余额为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86.97亿元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，其中：政府债务84.09亿元；或有债务2.88亿元（政府负有担保责任的债务2.66亿元；政府负有救助责任的债务0.22亿元）。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四平市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吉林省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财政厅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共计发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行债券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35.49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元。发行置换债券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22.57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元；发行新增债券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元；发行再融资债券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0.82亿元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年四平市偿还存量债务本息及手续费合计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2.86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亿元。其中，偿还政府债务本金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亿元、利息及手续费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亿元；偿还或有债务本金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亿元、利息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亿元。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A103E"/>
    <w:rsid w:val="3E9E27B4"/>
    <w:rsid w:val="499A103E"/>
    <w:rsid w:val="58777D3C"/>
    <w:rsid w:val="7AA0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2020-06-19T01:34:00Z</dcterms:created>
  <dc:creator>邱爽</dc:creator>
  <cp:lastModifiedBy>贺驰</cp:lastModifiedBy>
  <cp:lastPrinted>2021-05-25T07:07:11Z</cp:lastPrinted>
  <dcterms:modified xsi:type="dcterms:W3CDTF">2021-05-25T07:07:15Z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