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关于</w:t>
      </w:r>
      <w:r>
        <w:rPr>
          <w:rFonts w:hint="eastAsia" w:ascii="方正小标宋简体" w:hAnsi="方正小标宋简体" w:eastAsia="方正小标宋简体" w:cs="方正小标宋简体"/>
          <w:b w:val="0"/>
          <w:bCs w:val="0"/>
          <w:sz w:val="44"/>
          <w:szCs w:val="44"/>
          <w:lang w:val="en-US" w:eastAsia="zh-CN"/>
        </w:rPr>
        <w:t>市本级2026年国有资本经营预算收支</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预算的说明</w:t>
      </w:r>
    </w:p>
    <w:p>
      <w:pPr>
        <w:jc w:val="center"/>
        <w:rPr>
          <w:rFonts w:hint="eastAsia" w:ascii="宋体" w:hAnsi="宋体" w:eastAsia="宋体" w:cs="宋体"/>
          <w:b/>
          <w:bCs/>
          <w:sz w:val="36"/>
          <w:szCs w:val="36"/>
          <w:lang w:val="en-US" w:eastAsia="zh-CN"/>
        </w:rPr>
      </w:pP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2026年，市直各部门、事业单位出资设立的国有企业以及企业化管理的事业单位全部纳入国有资本经营预算编制范围，共计54户。</w:t>
      </w:r>
    </w:p>
    <w:p>
      <w:pPr>
        <w:widowControl w:val="0"/>
        <w:numPr>
          <w:ilvl w:val="0"/>
          <w:numId w:val="1"/>
        </w:numPr>
        <w:wordWrap/>
        <w:adjustRightInd/>
        <w:snapToGrid/>
        <w:spacing w:line="240" w:lineRule="auto"/>
        <w:ind w:left="0" w:leftChars="0" w:right="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收入预算</w:t>
      </w:r>
    </w:p>
    <w:p>
      <w:pPr>
        <w:widowControl w:val="0"/>
        <w:numPr>
          <w:ilvl w:val="0"/>
          <w:numId w:val="0"/>
        </w:numPr>
        <w:wordWrap/>
        <w:adjustRightInd/>
        <w:snapToGrid/>
        <w:spacing w:line="240" w:lineRule="auto"/>
        <w:ind w:right="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2026年，市级国有资本经营预算收入预期1029万元。分项目看：均为利润收入。</w:t>
      </w:r>
    </w:p>
    <w:p>
      <w:pPr>
        <w:widowControl w:val="0"/>
        <w:numPr>
          <w:ilvl w:val="0"/>
          <w:numId w:val="1"/>
        </w:numPr>
        <w:wordWrap/>
        <w:adjustRightInd/>
        <w:snapToGrid/>
        <w:spacing w:line="240" w:lineRule="auto"/>
        <w:ind w:left="0" w:leftChars="0" w:right="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支出预算</w:t>
      </w:r>
    </w:p>
    <w:p>
      <w:pPr>
        <w:widowControl w:val="0"/>
        <w:numPr>
          <w:ilvl w:val="0"/>
          <w:numId w:val="0"/>
        </w:numPr>
        <w:wordWrap/>
        <w:adjustRightInd/>
        <w:snapToGrid/>
        <w:spacing w:line="240" w:lineRule="auto"/>
        <w:ind w:right="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2026年，市级国有资本经营预算支出安排500万元。分项目看：均为国有企业资</w:t>
      </w:r>
      <w:bookmarkStart w:id="0" w:name="_GoBack"/>
      <w:bookmarkEnd w:id="0"/>
      <w:r>
        <w:rPr>
          <w:rFonts w:hint="eastAsia" w:ascii="仿宋" w:hAnsi="仿宋" w:eastAsia="仿宋" w:cs="仿宋"/>
          <w:b w:val="0"/>
          <w:bCs w:val="0"/>
          <w:sz w:val="32"/>
          <w:szCs w:val="32"/>
          <w:lang w:val="en-US" w:eastAsia="zh-CN"/>
        </w:rPr>
        <w:t>本金注入支出。调入一般公共预算529万元。</w:t>
      </w:r>
    </w:p>
    <w:p>
      <w:pPr>
        <w:widowControl w:val="0"/>
        <w:numPr>
          <w:ilvl w:val="0"/>
          <w:numId w:val="0"/>
        </w:numPr>
        <w:wordWrap/>
        <w:adjustRightInd/>
        <w:snapToGrid/>
        <w:spacing w:line="240" w:lineRule="auto"/>
        <w:ind w:right="0" w:firstLine="640" w:firstLineChars="200"/>
        <w:jc w:val="left"/>
        <w:textAlignment w:val="auto"/>
        <w:outlineLvl w:val="9"/>
        <w:rPr>
          <w:rFonts w:hint="eastAsia" w:ascii="仿宋" w:hAnsi="仿宋" w:eastAsia="仿宋" w:cs="仿宋"/>
          <w:b w:val="0"/>
          <w:bCs w:val="0"/>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DB375"/>
    <w:multiLevelType w:val="singleLevel"/>
    <w:tmpl w:val="678DB37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E16D9E"/>
    <w:rsid w:val="3A9D6089"/>
    <w:rsid w:val="3AD4112E"/>
    <w:rsid w:val="4A137034"/>
    <w:rsid w:val="559C4A5D"/>
    <w:rsid w:val="5C8416A3"/>
    <w:rsid w:val="614B51FF"/>
    <w:rsid w:val="62576471"/>
    <w:rsid w:val="69524915"/>
    <w:rsid w:val="727E7568"/>
    <w:rsid w:val="737516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董月</cp:lastModifiedBy>
  <cp:lastPrinted>2025-01-20T02:36:00Z</cp:lastPrinted>
  <dcterms:modified xsi:type="dcterms:W3CDTF">2026-01-15T02:57:01Z</dcterms:modified>
  <dc:title>关于2025年市级国有资本经营预算收支预算的说明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